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708" w:leader="none"/>
          <w:tab w:val="left" w:pos="2220" w:leader="none"/>
        </w:tabs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</w:r>
    </w:p>
    <w:p>
      <w:pPr>
        <w:pStyle w:val="Normal"/>
        <w:widowControl w:val="false"/>
        <w:numPr>
          <w:ilvl w:val="0"/>
          <w:numId w:val="2"/>
        </w:numPr>
        <w:jc w:val="center"/>
        <w:rPr>
          <w:rFonts w:eastAsia="Times New Roman"/>
          <w:b/>
          <w:kern w:val="2"/>
          <w:sz w:val="26"/>
          <w:szCs w:val="26"/>
        </w:rPr>
      </w:pPr>
      <w:r>
        <w:rPr>
          <w:rFonts w:eastAsia="Times New Roman"/>
          <w:b/>
          <w:kern w:val="2"/>
          <w:sz w:val="26"/>
          <w:szCs w:val="26"/>
        </w:rPr>
        <w:t>Российская Федерация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jc w:val="center"/>
        <w:rPr>
          <w:rFonts w:eastAsia="Times New Roman"/>
          <w:b/>
        </w:rPr>
      </w:pPr>
      <w:r>
        <w:rPr>
          <w:rFonts w:eastAsia="Times New Roman"/>
          <w:b/>
        </w:rPr>
        <w:t>АДМИНИСТРАЦИЯ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jc w:val="center"/>
        <w:rPr>
          <w:rFonts w:eastAsia="Times New Roman"/>
          <w:b/>
          <w:spacing w:val="40"/>
          <w:sz w:val="40"/>
          <w:szCs w:val="40"/>
        </w:rPr>
      </w:pPr>
      <w:r>
        <w:rPr>
          <w:rFonts w:eastAsia="Times New Roman"/>
          <w:b/>
        </w:rPr>
        <w:t>МУНИЦИПАЛЬНОГО ОБРАЗОВАНИЯ ГРИГОРЬЕВСКОЕ (СЕЛЬСКОЕ ПОСЕЛЕНИЕ) ГУСЬ-ХРУСТАЛЬНОГО РАЙОНА ВЛАДИМИРСКОЙ ОБЛАСТИ</w:t>
      </w:r>
    </w:p>
    <w:p>
      <w:pPr>
        <w:pStyle w:val="Normal"/>
        <w:ind w:left="2940"/>
        <w:rPr>
          <w:sz w:val="20"/>
          <w:szCs w:val="20"/>
        </w:rPr>
      </w:pPr>
      <w:r>
        <w:rPr>
          <w:rFonts w:eastAsia="Times New Roman"/>
          <w:b/>
          <w:spacing w:val="40"/>
          <w:sz w:val="40"/>
          <w:szCs w:val="40"/>
        </w:rPr>
        <w:t>ПОСТАНОВЛЕНИЕ</w:t>
      </w:r>
    </w:p>
    <w:p>
      <w:pPr>
        <w:pStyle w:val="Normal"/>
        <w:spacing w:lineRule="exact" w:line="3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8840" w:leader="none"/>
        </w:tabs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01-12-2024</w:t>
      </w:r>
      <w:r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№  ПРОЕКТ </w:t>
      </w:r>
    </w:p>
    <w:tbl>
      <w:tblPr>
        <w:tblStyle w:val="a4"/>
        <w:tblW w:w="9576" w:type="dxa"/>
        <w:jc w:val="left"/>
        <w:tblInd w:w="2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29"/>
        <w:gridCol w:w="4746"/>
      </w:tblGrid>
      <w:tr>
        <w:trPr/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Spacing"/>
              <w:widowControl/>
              <w:spacing w:before="0" w:after="0"/>
              <w:jc w:val="both"/>
              <w:rPr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О внесении изменений в постановление администрации от 15.10.2021 (ред. 31.07.2024) № 89</w:t>
            </w:r>
            <w:r>
              <w:rPr>
                <w:rFonts w:eastAsia="" w:cs="Times New Roman"/>
                <w:kern w:val="0"/>
                <w:sz w:val="28"/>
                <w:szCs w:val="28"/>
                <w:lang w:val="ru-RU" w:eastAsia="ru-RU" w:bidi="ar-SA"/>
              </w:rPr>
              <w:t xml:space="preserve"> «</w:t>
            </w: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Об утверждении муниципальной Программы</w:t>
            </w:r>
            <w:r>
              <w:rPr>
                <w:rFonts w:eastAsia="" w:cs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«Благоустройство</w:t>
            </w:r>
            <w:r>
              <w:rPr>
                <w:rFonts w:eastAsia="" w:cs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территории</w:t>
            </w:r>
            <w:r>
              <w:rPr>
                <w:rFonts w:eastAsia="" w:cs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муниципального образования Григорьевское (сельское поселение) на 2022-2025 годы»</w:t>
            </w:r>
          </w:p>
          <w:p>
            <w:pPr>
              <w:pStyle w:val="Normal"/>
              <w:widowControl/>
              <w:tabs>
                <w:tab w:val="clear" w:pos="720"/>
                <w:tab w:val="left" w:pos="8840" w:leader="none"/>
              </w:tabs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20"/>
                <w:tab w:val="left" w:pos="8840" w:leader="none"/>
              </w:tabs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</w:tbl>
    <w:p>
      <w:pPr>
        <w:pStyle w:val="Normal"/>
        <w:tabs>
          <w:tab w:val="clear" w:pos="720"/>
          <w:tab w:val="left" w:pos="8840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1518" w:leader="none"/>
        </w:tabs>
        <w:spacing w:lineRule="auto" w:line="245"/>
        <w:ind w:firstLine="902"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соответствии со статьей 179 Бюджетного кодекса Российской Федерации, Порядком разработки, реализации и оценки эффективности муниципальных программ муниципального образования Григорьевское (сельское поселение), утвержденным постановлением администрации муниципального образования Григорьевское (сельское поселение) от </w:t>
      </w:r>
      <w:r>
        <w:rPr>
          <w:sz w:val="28"/>
          <w:szCs w:val="28"/>
        </w:rPr>
        <w:t>07.09.2021 № 68</w:t>
      </w:r>
    </w:p>
    <w:p>
      <w:pPr>
        <w:pStyle w:val="Normal"/>
        <w:spacing w:lineRule="exact" w:line="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160"/>
        <w:jc w:val="center"/>
        <w:rPr>
          <w:b/>
          <w:sz w:val="20"/>
          <w:szCs w:val="20"/>
        </w:rPr>
      </w:pPr>
      <w:r>
        <w:rPr>
          <w:rFonts w:eastAsia="Times New Roman"/>
          <w:b/>
          <w:sz w:val="28"/>
          <w:szCs w:val="28"/>
        </w:rPr>
        <w:t>ПОСТАНОВЛЯЕТ:</w:t>
      </w:r>
    </w:p>
    <w:p>
      <w:pPr>
        <w:pStyle w:val="Normal"/>
        <w:spacing w:lineRule="exact" w:line="1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3"/>
        <w:jc w:val="both"/>
        <w:rPr>
          <w:bCs/>
        </w:rPr>
      </w:pPr>
      <w:r>
        <w:rPr>
          <w:bCs/>
        </w:rPr>
        <w:t xml:space="preserve">         </w:t>
      </w:r>
      <w:r>
        <w:rPr>
          <w:bCs/>
        </w:rPr>
        <w:t>1. Внести в постановление администрации от 15.10.2021 (ред. 31.07.2024) № 89 «Об утверждении муниципальной Программы «Благоустройство территории муниципального образования Григорьевское (сельское поселение) на 2022-2025 годы» следующие изменения:</w:t>
      </w:r>
    </w:p>
    <w:p>
      <w:pPr>
        <w:pStyle w:val="Heading3"/>
        <w:jc w:val="both"/>
        <w:rPr>
          <w:bCs/>
        </w:rPr>
      </w:pPr>
      <w:r>
        <w:rPr>
          <w:bCs/>
        </w:rPr>
        <w:t xml:space="preserve">       </w:t>
      </w:r>
      <w:r>
        <w:rPr/>
        <w:t>1.2.</w:t>
      </w:r>
      <w:r>
        <w:rPr>
          <w:bCs/>
        </w:rPr>
        <w:t xml:space="preserve"> строку «Объемы и источники финансирования Программы» раздела I изложить в следующей редакции: «Общий объем финансирования Программы составляет: в 2022–2025 годах – </w:t>
      </w:r>
      <w:r>
        <w:rPr>
          <w:b/>
        </w:rPr>
        <w:t xml:space="preserve">4345,1 </w:t>
      </w:r>
      <w:r>
        <w:rPr>
          <w:bCs/>
        </w:rPr>
        <w:t xml:space="preserve">рублей, в том числе: в том числе по годам: 2022 год   - </w:t>
      </w:r>
      <w:r>
        <w:rPr>
          <w:b/>
        </w:rPr>
        <w:t>1 193,6</w:t>
      </w:r>
      <w:r>
        <w:rPr>
          <w:bCs/>
        </w:rPr>
        <w:t xml:space="preserve"> тыс. руб.; 2023 год   -   </w:t>
      </w:r>
      <w:r>
        <w:rPr>
          <w:b/>
        </w:rPr>
        <w:t xml:space="preserve">1050,1 </w:t>
      </w:r>
      <w:r>
        <w:rPr/>
        <w:t>тыс.</w:t>
      </w:r>
      <w:r>
        <w:rPr>
          <w:b/>
        </w:rPr>
        <w:t xml:space="preserve"> </w:t>
      </w:r>
      <w:r>
        <w:rPr>
          <w:bCs/>
        </w:rPr>
        <w:t xml:space="preserve">руб.; 2024год   -    </w:t>
      </w:r>
      <w:r>
        <w:rPr>
          <w:b/>
        </w:rPr>
        <w:t xml:space="preserve">1521,40 </w:t>
      </w:r>
      <w:r>
        <w:rPr/>
        <w:t>тыс.</w:t>
      </w:r>
      <w:r>
        <w:rPr>
          <w:bCs/>
        </w:rPr>
        <w:t xml:space="preserve"> руб.; 2025 год – </w:t>
      </w:r>
      <w:r>
        <w:rPr>
          <w:b/>
          <w:bCs/>
        </w:rPr>
        <w:t>580,00</w:t>
      </w:r>
      <w:r>
        <w:rPr>
          <w:bCs/>
        </w:rPr>
        <w:t xml:space="preserve"> тыс. руб. </w:t>
      </w:r>
    </w:p>
    <w:p>
      <w:pPr>
        <w:pStyle w:val="Normal"/>
        <w:ind w:firstLine="709"/>
        <w:rPr>
          <w:rFonts w:eastAsia="Times New Roman"/>
          <w:bCs/>
          <w:sz w:val="28"/>
          <w:szCs w:val="20"/>
        </w:rPr>
      </w:pPr>
      <w:r>
        <w:rPr>
          <w:rFonts w:eastAsia="Times New Roman"/>
          <w:bCs/>
          <w:sz w:val="28"/>
          <w:szCs w:val="20"/>
        </w:rPr>
        <w:t xml:space="preserve">1.3. </w:t>
      </w:r>
      <w:r>
        <w:rPr>
          <w:rFonts w:eastAsia="Times New Roman"/>
          <w:sz w:val="28"/>
          <w:szCs w:val="20"/>
        </w:rPr>
        <w:t>изложив пункт 4 части 3 в новой редакции (согласно приложению).</w:t>
      </w:r>
    </w:p>
    <w:p>
      <w:pPr>
        <w:pStyle w:val="Heading3"/>
        <w:ind w:firstLine="709"/>
        <w:jc w:val="both"/>
        <w:rPr/>
      </w:pPr>
      <w:r>
        <w:rPr/>
        <w:t xml:space="preserve">2. Контроль за исполнением настоящего постановления оставляю за собой </w:t>
      </w:r>
    </w:p>
    <w:p>
      <w:pPr>
        <w:pStyle w:val="NoSpacing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3.Настоящее постановление вступает в силу его подписания и подлежит размещению на официальном сайте администрации муниципального образования Григорьевское (сельское поселение).</w:t>
      </w:r>
    </w:p>
    <w:p>
      <w:pPr>
        <w:pStyle w:val="Normal"/>
        <w:tabs>
          <w:tab w:val="clear" w:pos="720"/>
          <w:tab w:val="left" w:pos="7600" w:leader="none"/>
        </w:tabs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tabs>
          <w:tab w:val="clear" w:pos="720"/>
          <w:tab w:val="left" w:pos="7600" w:leader="none"/>
        </w:tabs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sectPr>
          <w:type w:val="nextPage"/>
          <w:pgSz w:w="11906" w:h="16838"/>
          <w:pgMar w:left="1440" w:right="844" w:gutter="0" w:header="0" w:top="1440" w:footer="0" w:bottom="830"/>
          <w:pgNumType w:fmt="decimal"/>
          <w:formProt w:val="false"/>
          <w:textDirection w:val="lrTb"/>
          <w:docGrid w:type="default" w:linePitch="100" w:charSpace="4096"/>
        </w:sectPr>
        <w:pStyle w:val="Normal"/>
        <w:tabs>
          <w:tab w:val="clear" w:pos="720"/>
          <w:tab w:val="left" w:pos="7600" w:leader="none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Глава администрации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 xml:space="preserve">Т.М. Гусарова  </w:t>
      </w:r>
    </w:p>
    <w:p>
      <w:pPr>
        <w:pStyle w:val="Normal"/>
        <w:ind w:right="-359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</w:t>
      </w:r>
    </w:p>
    <w:p>
      <w:pPr>
        <w:pStyle w:val="Normal"/>
        <w:ind w:right="827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Приложение к постановлению</w:t>
      </w:r>
    </w:p>
    <w:p>
      <w:pPr>
        <w:pStyle w:val="Normal"/>
        <w:ind w:right="827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администрации МО Григорьевское </w:t>
      </w:r>
    </w:p>
    <w:p>
      <w:pPr>
        <w:pStyle w:val="Normal"/>
        <w:ind w:right="827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 ____ № ____</w:t>
      </w:r>
      <w:bookmarkStart w:id="0" w:name="_GoBack"/>
      <w:bookmarkEnd w:id="0"/>
    </w:p>
    <w:p>
      <w:pPr>
        <w:pStyle w:val="Normal"/>
        <w:ind w:right="-23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tabs>
          <w:tab w:val="clear" w:pos="720"/>
          <w:tab w:val="left" w:pos="2240" w:leader="none"/>
        </w:tabs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4.Ресурсное обеспечение муниципальной программы</w:t>
      </w:r>
    </w:p>
    <w:p>
      <w:pPr>
        <w:pStyle w:val="Normal"/>
        <w:tabs>
          <w:tab w:val="clear" w:pos="720"/>
          <w:tab w:val="left" w:pos="2240" w:leader="none"/>
        </w:tabs>
        <w:ind w:right="827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</w:r>
    </w:p>
    <w:p>
      <w:pPr>
        <w:pStyle w:val="NoSpacing"/>
        <w:ind w:right="827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Финансирование мероприятий муниципальной программы осуществляется за счет средств бюджета муниципального образования Григорьевское (сельское поселение).</w:t>
      </w:r>
    </w:p>
    <w:tbl>
      <w:tblPr>
        <w:tblStyle w:val="a4"/>
        <w:tblW w:w="10207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1"/>
        <w:gridCol w:w="3968"/>
        <w:gridCol w:w="1276"/>
        <w:gridCol w:w="992"/>
        <w:gridCol w:w="992"/>
        <w:gridCol w:w="1134"/>
        <w:gridCol w:w="993"/>
      </w:tblGrid>
      <w:tr>
        <w:trPr>
          <w:trHeight w:val="360" w:hRule="atLeast"/>
        </w:trPr>
        <w:tc>
          <w:tcPr>
            <w:tcW w:w="851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ind w:right="18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968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ind w:right="180"/>
              <w:jc w:val="lef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ru-RU" w:eastAsia="ru-RU" w:bidi="ar-SA"/>
              </w:rPr>
              <w:t>Наименование основных</w:t>
            </w:r>
          </w:p>
          <w:p>
            <w:pPr>
              <w:pStyle w:val="Normal"/>
              <w:widowControl/>
              <w:spacing w:before="0" w:after="0"/>
              <w:ind w:right="180"/>
              <w:jc w:val="lef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ru-RU" w:eastAsia="ru-RU" w:bidi="ar-SA"/>
              </w:rPr>
              <w:t>мероприятий</w:t>
            </w:r>
          </w:p>
        </w:tc>
        <w:tc>
          <w:tcPr>
            <w:tcW w:w="1276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ind w:right="180"/>
              <w:jc w:val="lef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ru-RU" w:eastAsia="ru-RU" w:bidi="ar-SA"/>
              </w:rPr>
              <w:t>Источник финансирования</w:t>
            </w:r>
          </w:p>
        </w:tc>
        <w:tc>
          <w:tcPr>
            <w:tcW w:w="4111" w:type="dxa"/>
            <w:gridSpan w:val="4"/>
            <w:tcBorders/>
          </w:tcPr>
          <w:p>
            <w:pPr>
              <w:pStyle w:val="Normal"/>
              <w:widowControl/>
              <w:spacing w:before="0" w:after="0"/>
              <w:ind w:right="180"/>
              <w:jc w:val="lef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ru-RU" w:eastAsia="ru-RU" w:bidi="ar-SA"/>
              </w:rPr>
              <w:t>Объем финансирования, тыс. руб.</w:t>
            </w:r>
          </w:p>
        </w:tc>
      </w:tr>
      <w:tr>
        <w:trPr>
          <w:trHeight w:val="720" w:hRule="atLeast"/>
        </w:trPr>
        <w:tc>
          <w:tcPr>
            <w:tcW w:w="851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ind w:right="18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968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ind w:right="180"/>
              <w:jc w:val="lef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ind w:right="180"/>
              <w:jc w:val="lef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ind w:right="180"/>
              <w:jc w:val="lef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ru-RU" w:eastAsia="ru-RU" w:bidi="ar-SA"/>
              </w:rPr>
              <w:t>2022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ind w:right="180"/>
              <w:jc w:val="lef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ru-RU" w:eastAsia="ru-RU" w:bidi="ar-SA"/>
              </w:rPr>
              <w:t>2023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before="0" w:after="0"/>
              <w:ind w:right="180"/>
              <w:jc w:val="lef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ru-RU" w:eastAsia="ru-RU" w:bidi="ar-SA"/>
              </w:rPr>
              <w:t>2024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ind w:right="180"/>
              <w:jc w:val="lef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ru-RU" w:eastAsia="ru-RU" w:bidi="ar-SA"/>
              </w:rPr>
              <w:t>2025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ind w:right="18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3968" w:type="dxa"/>
            <w:tcBorders/>
          </w:tcPr>
          <w:p>
            <w:pPr>
              <w:pStyle w:val="Normal"/>
              <w:widowControl/>
              <w:spacing w:before="0" w:after="0"/>
              <w:ind w:right="18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" w:cs="Times New Roman"/>
                <w:b/>
                <w:kern w:val="0"/>
                <w:sz w:val="24"/>
                <w:szCs w:val="24"/>
                <w:lang w:val="ru-RU" w:eastAsia="ru-RU" w:bidi="ar-SA"/>
              </w:rPr>
              <w:t>1. Основное мероприятие  Текущие содержание и обслуживание наружных сетей уличного освещения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Местный Бюджет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/>
                <w:b/>
                <w:kern w:val="0"/>
                <w:sz w:val="24"/>
                <w:szCs w:val="24"/>
                <w:lang w:val="ru-RU" w:eastAsia="ru-RU" w:bidi="ar-SA"/>
              </w:rPr>
              <w:t>850,40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/>
                <w:b/>
                <w:kern w:val="0"/>
                <w:sz w:val="24"/>
                <w:szCs w:val="24"/>
                <w:lang w:val="ru-RU" w:eastAsia="ru-RU" w:bidi="ar-SA"/>
              </w:rPr>
              <w:t>853,4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/>
                <w:b/>
                <w:kern w:val="0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/>
                <w:b/>
                <w:kern w:val="0"/>
                <w:sz w:val="24"/>
                <w:szCs w:val="24"/>
                <w:lang w:val="ru-RU" w:eastAsia="ru-RU" w:bidi="ar-SA"/>
              </w:rPr>
              <w:t>0,00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ind w:right="18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01.1.</w:t>
            </w:r>
          </w:p>
        </w:tc>
        <w:tc>
          <w:tcPr>
            <w:tcW w:w="3968" w:type="dxa"/>
            <w:tcBorders/>
          </w:tcPr>
          <w:p>
            <w:pPr>
              <w:pStyle w:val="Normal"/>
              <w:widowControl/>
              <w:spacing w:before="0" w:after="0"/>
              <w:ind w:right="18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Оплата потребленной  электроэнергии наружных сетей уличного освещения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Местный Бюджет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645,60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616,7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0,00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ind w:right="18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01.2</w:t>
            </w:r>
          </w:p>
        </w:tc>
        <w:tc>
          <w:tcPr>
            <w:tcW w:w="3968" w:type="dxa"/>
            <w:tcBorders/>
          </w:tcPr>
          <w:p>
            <w:pPr>
              <w:pStyle w:val="Normal"/>
              <w:widowControl/>
              <w:spacing w:before="0" w:after="0"/>
              <w:ind w:right="18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Приобретение и установка приборов уличного освещения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Местный Бюджет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204,90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236,6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0,00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ind w:right="18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02</w:t>
            </w:r>
          </w:p>
        </w:tc>
        <w:tc>
          <w:tcPr>
            <w:tcW w:w="3968" w:type="dxa"/>
            <w:tcBorders/>
          </w:tcPr>
          <w:p>
            <w:pPr>
              <w:pStyle w:val="Normal"/>
              <w:widowControl/>
              <w:spacing w:before="0" w:after="0"/>
              <w:ind w:right="18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ru-RU" w:eastAsia="ru-RU" w:bidi="ar-SA"/>
              </w:rPr>
              <w:t xml:space="preserve">2. </w:t>
            </w:r>
            <w:r>
              <w:rPr>
                <w:rFonts w:eastAsia="" w:cs="Times New Roman"/>
                <w:b/>
                <w:kern w:val="0"/>
                <w:sz w:val="24"/>
                <w:szCs w:val="24"/>
                <w:lang w:val="ru-RU" w:eastAsia="ru-RU" w:bidi="ar-SA"/>
              </w:rPr>
              <w:t xml:space="preserve"> Основное мероприятие.  </w:t>
            </w: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ru-RU" w:eastAsia="ru-RU" w:bidi="ar-SA"/>
              </w:rPr>
              <w:t>Организация и содержание мест захоронения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Местный Бюджет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" w:cs="Times New Roman"/>
                <w:b/>
                <w:kern w:val="0"/>
                <w:sz w:val="24"/>
                <w:szCs w:val="24"/>
                <w:lang w:val="ru-RU" w:eastAsia="ru-RU" w:bidi="ar-SA"/>
              </w:rPr>
              <w:t>227,20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exact" w:line="226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" w:cs="Times New Roman"/>
                <w:b/>
                <w:kern w:val="0"/>
                <w:sz w:val="24"/>
                <w:szCs w:val="24"/>
                <w:lang w:val="ru-RU" w:eastAsia="ru-RU" w:bidi="ar-SA"/>
              </w:rPr>
              <w:t>135,1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226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" w:cs="Times New Roman"/>
                <w:b/>
                <w:kern w:val="0"/>
                <w:sz w:val="24"/>
                <w:szCs w:val="24"/>
                <w:lang w:val="ru-RU" w:eastAsia="ru-RU" w:bidi="ar-SA"/>
              </w:rPr>
              <w:t>00,00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exact" w:line="226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" w:cs="Times New Roman"/>
                <w:b/>
                <w:kern w:val="0"/>
                <w:sz w:val="24"/>
                <w:szCs w:val="24"/>
                <w:lang w:val="ru-RU" w:eastAsia="ru-RU" w:bidi="ar-SA"/>
              </w:rPr>
              <w:t>280,00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ind w:right="18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02.1</w:t>
            </w:r>
          </w:p>
        </w:tc>
        <w:tc>
          <w:tcPr>
            <w:tcW w:w="39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Обустройство мест</w:t>
            </w:r>
          </w:p>
          <w:p>
            <w:pPr>
              <w:pStyle w:val="Normal"/>
              <w:widowControl/>
              <w:spacing w:before="0" w:after="0"/>
              <w:ind w:right="18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захоронения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Местный Бюджет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227,2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135,1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00,00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200,00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ind w:right="18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02.2</w:t>
            </w:r>
          </w:p>
        </w:tc>
        <w:tc>
          <w:tcPr>
            <w:tcW w:w="39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Косметический ремонт</w:t>
            </w:r>
          </w:p>
          <w:p>
            <w:pPr>
              <w:pStyle w:val="Normal"/>
              <w:widowControl/>
              <w:spacing w:before="0" w:after="0"/>
              <w:ind w:left="6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памятников и обелисков</w:t>
            </w:r>
          </w:p>
          <w:p>
            <w:pPr>
              <w:pStyle w:val="Normal"/>
              <w:widowControl/>
              <w:spacing w:before="0" w:after="0"/>
              <w:ind w:left="6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воинам, погибшим в годы</w:t>
            </w:r>
          </w:p>
          <w:p>
            <w:pPr>
              <w:pStyle w:val="Normal"/>
              <w:widowControl/>
              <w:spacing w:before="0" w:after="0"/>
              <w:ind w:right="18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Великой</w:t>
            </w: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Отечественной войны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Местный Бюджет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00,00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80,00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ind w:right="18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3968" w:type="dxa"/>
            <w:tcBorders/>
            <w:vAlign w:val="bottom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ru-RU" w:eastAsia="ru-RU" w:bidi="ar-SA"/>
              </w:rPr>
              <w:t xml:space="preserve">3. </w:t>
            </w:r>
            <w:r>
              <w:rPr>
                <w:rFonts w:eastAsia="" w:cs="Times New Roman"/>
                <w:b/>
                <w:kern w:val="0"/>
                <w:sz w:val="24"/>
                <w:szCs w:val="24"/>
                <w:lang w:val="ru-RU" w:eastAsia="ru-RU" w:bidi="ar-SA"/>
              </w:rPr>
              <w:t xml:space="preserve"> Основное мероприятие.  </w:t>
            </w: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ru-RU" w:eastAsia="ru-RU" w:bidi="ar-SA"/>
              </w:rPr>
              <w:t>Улучшение  санитарного  состояния территории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Местный Бюджет</w:t>
            </w:r>
          </w:p>
        </w:tc>
        <w:tc>
          <w:tcPr>
            <w:tcW w:w="99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ru-RU" w:eastAsia="ru-RU" w:bidi="ar-SA"/>
              </w:rPr>
              <w:t>115,90</w:t>
            </w:r>
          </w:p>
        </w:tc>
        <w:tc>
          <w:tcPr>
            <w:tcW w:w="99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ru-RU" w:eastAsia="ru-RU" w:bidi="ar-SA"/>
              </w:rPr>
              <w:t>58,5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ru-RU" w:eastAsia="ru-RU" w:bidi="ar-SA"/>
              </w:rPr>
              <w:t>00,00</w:t>
            </w:r>
          </w:p>
        </w:tc>
        <w:tc>
          <w:tcPr>
            <w:tcW w:w="99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ru-RU" w:eastAsia="ru-RU" w:bidi="ar-SA"/>
              </w:rPr>
              <w:t>150,00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ind w:right="18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03.1</w:t>
            </w:r>
          </w:p>
        </w:tc>
        <w:tc>
          <w:tcPr>
            <w:tcW w:w="3968" w:type="dxa"/>
            <w:tcBorders/>
            <w:vAlign w:val="bottom"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Обрезка деревьев и</w:t>
            </w:r>
          </w:p>
          <w:p>
            <w:pPr>
              <w:pStyle w:val="Normal"/>
              <w:widowControl/>
              <w:spacing w:before="0" w:after="0"/>
              <w:ind w:left="6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кустарников на территориях</w:t>
            </w: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сельских населенных пунктов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Местный Бюджет</w:t>
            </w:r>
          </w:p>
        </w:tc>
        <w:tc>
          <w:tcPr>
            <w:tcW w:w="99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59,20</w:t>
            </w:r>
          </w:p>
        </w:tc>
        <w:tc>
          <w:tcPr>
            <w:tcW w:w="99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55,0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00,00</w:t>
            </w:r>
          </w:p>
        </w:tc>
        <w:tc>
          <w:tcPr>
            <w:tcW w:w="99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100,00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ind w:right="18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03.2</w:t>
            </w:r>
          </w:p>
        </w:tc>
        <w:tc>
          <w:tcPr>
            <w:tcW w:w="3968" w:type="dxa"/>
            <w:tcBorders/>
            <w:vAlign w:val="bottom"/>
          </w:tcPr>
          <w:p>
            <w:pPr>
              <w:pStyle w:val="Normal"/>
              <w:widowControl/>
              <w:spacing w:before="0" w:after="0"/>
              <w:ind w:left="6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Содержание  в надлежащем порядке территории  муниципального  образования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Местный Бюджет</w:t>
            </w:r>
          </w:p>
        </w:tc>
        <w:tc>
          <w:tcPr>
            <w:tcW w:w="99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56,70</w:t>
            </w:r>
          </w:p>
        </w:tc>
        <w:tc>
          <w:tcPr>
            <w:tcW w:w="99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3,5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50,00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ind w:right="18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3968" w:type="dxa"/>
            <w:tcBorders/>
            <w:vAlign w:val="bottom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4.Прочие мероприятия</w:t>
            </w:r>
          </w:p>
          <w:p>
            <w:pPr>
              <w:pStyle w:val="Normal"/>
              <w:widowControl/>
              <w:spacing w:before="0" w:after="0"/>
              <w:ind w:left="6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по благоустройству</w:t>
            </w:r>
          </w:p>
          <w:p>
            <w:pPr>
              <w:pStyle w:val="Normal"/>
              <w:widowControl/>
              <w:spacing w:before="0" w:after="0"/>
              <w:ind w:left="6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населенных пунктов сельского поселения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Местный Бюджет</w:t>
            </w:r>
          </w:p>
        </w:tc>
        <w:tc>
          <w:tcPr>
            <w:tcW w:w="99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ru-RU" w:eastAsia="ru-RU" w:bidi="ar-SA"/>
              </w:rPr>
              <w:t>3,1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ru-RU" w:eastAsia="ru-RU" w:bidi="ar-SA"/>
              </w:rPr>
              <w:t>1521,40</w:t>
            </w:r>
          </w:p>
        </w:tc>
        <w:tc>
          <w:tcPr>
            <w:tcW w:w="99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ru-RU" w:eastAsia="ru-RU" w:bidi="ar-SA"/>
              </w:rPr>
              <w:t>150,00</w:t>
            </w:r>
          </w:p>
        </w:tc>
      </w:tr>
      <w:tr>
        <w:trPr/>
        <w:tc>
          <w:tcPr>
            <w:tcW w:w="851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ind w:right="18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04.1</w:t>
            </w:r>
          </w:p>
        </w:tc>
        <w:tc>
          <w:tcPr>
            <w:tcW w:w="3968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Содержание и текущий ремонт детских,</w:t>
            </w: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спортивных площадок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Местный Бюджет</w:t>
            </w:r>
          </w:p>
        </w:tc>
        <w:tc>
          <w:tcPr>
            <w:tcW w:w="99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ru-RU" w:eastAsia="ru-RU" w:bidi="ar-SA"/>
              </w:rPr>
              <w:t>3,1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35,50</w:t>
            </w:r>
          </w:p>
        </w:tc>
        <w:tc>
          <w:tcPr>
            <w:tcW w:w="99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50,00</w:t>
            </w:r>
          </w:p>
        </w:tc>
      </w:tr>
      <w:tr>
        <w:trPr/>
        <w:tc>
          <w:tcPr>
            <w:tcW w:w="851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ind w:right="18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968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Областной бюджет</w:t>
            </w:r>
          </w:p>
        </w:tc>
        <w:tc>
          <w:tcPr>
            <w:tcW w:w="99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69,9</w:t>
            </w:r>
          </w:p>
        </w:tc>
        <w:tc>
          <w:tcPr>
            <w:tcW w:w="99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ind w:right="18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04.2</w:t>
            </w:r>
          </w:p>
        </w:tc>
        <w:tc>
          <w:tcPr>
            <w:tcW w:w="39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Уборка территорий, улично-дорожной сети, тротуаров, прилегающих к учреждениям социальной сферы и жилому сектору от снега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1116,1</w:t>
            </w:r>
          </w:p>
        </w:tc>
        <w:tc>
          <w:tcPr>
            <w:tcW w:w="99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ind w:right="18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04.3</w:t>
            </w:r>
          </w:p>
        </w:tc>
        <w:tc>
          <w:tcPr>
            <w:tcW w:w="39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Закупка малогабаритной техники для уборки тротуаров от снега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299,9</w:t>
            </w:r>
          </w:p>
        </w:tc>
        <w:tc>
          <w:tcPr>
            <w:tcW w:w="99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0,00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ind w:right="18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04.4</w:t>
            </w:r>
          </w:p>
        </w:tc>
        <w:tc>
          <w:tcPr>
            <w:tcW w:w="39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Реализация инициативных проектов в сфере благоустройства имеющих приоритетное значение для жителей муниципального образования и определенных с учетом их мнения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9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100,00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ind w:right="18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9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итого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0"/>
              <w:ind w:right="18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Times New Roman"/>
                <w:b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ru-RU" w:eastAsia="ru-RU" w:bidi="ar-SA"/>
              </w:rPr>
              <w:t>1193,6</w:t>
            </w:r>
          </w:p>
        </w:tc>
        <w:tc>
          <w:tcPr>
            <w:tcW w:w="99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Times New Roman"/>
                <w:b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ru-RU" w:eastAsia="ru-RU" w:bidi="ar-SA"/>
              </w:rPr>
              <w:t>1050,1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Times New Roman"/>
                <w:b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ru-RU" w:eastAsia="ru-RU" w:bidi="ar-SA"/>
              </w:rPr>
              <w:t>1521,40</w:t>
            </w:r>
          </w:p>
        </w:tc>
        <w:tc>
          <w:tcPr>
            <w:tcW w:w="99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Times New Roman"/>
                <w:b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ru-RU" w:eastAsia="ru-RU" w:bidi="ar-SA"/>
              </w:rPr>
              <w:t>580,00</w:t>
            </w:r>
          </w:p>
        </w:tc>
      </w:tr>
    </w:tbl>
    <w:p>
      <w:pPr>
        <w:pStyle w:val="Normal"/>
        <w:ind w:firstLine="900" w:left="260" w:right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sectPr>
      <w:type w:val="nextPage"/>
      <w:pgSz w:w="11906" w:h="16838"/>
      <w:pgMar w:left="1440" w:right="844" w:gutter="0" w:header="0" w:top="689" w:footer="0" w:bottom="144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В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pacing w:val="4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36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Times New Roman" w:eastAsiaTheme="minorEastAsia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e3006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2"/>
      <w:szCs w:val="22"/>
      <w:lang w:val="ru-RU" w:eastAsia="ru-RU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dc62d7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paragraph" w:styleId="Heading3">
    <w:name w:val="heading 3"/>
    <w:basedOn w:val="Normal"/>
    <w:next w:val="Normal"/>
    <w:link w:val="3"/>
    <w:qFormat/>
    <w:rsid w:val="00bf7216"/>
    <w:pPr>
      <w:keepNext w:val="true"/>
      <w:jc w:val="center"/>
      <w:outlineLvl w:val="2"/>
    </w:pPr>
    <w:rPr>
      <w:rFonts w:eastAsia="Times New Roman"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  <w:style w:type="character" w:styleId="Style12" w:customStyle="1">
    <w:name w:val="Верхний колонтитул Знак"/>
    <w:basedOn w:val="DefaultParagraphFont"/>
    <w:uiPriority w:val="99"/>
    <w:semiHidden/>
    <w:qFormat/>
    <w:rsid w:val="009476c3"/>
    <w:rPr/>
  </w:style>
  <w:style w:type="character" w:styleId="Style13" w:customStyle="1">
    <w:name w:val="Нижний колонтитул Знак"/>
    <w:basedOn w:val="DefaultParagraphFont"/>
    <w:uiPriority w:val="99"/>
    <w:semiHidden/>
    <w:qFormat/>
    <w:rsid w:val="009476c3"/>
    <w:rPr/>
  </w:style>
  <w:style w:type="character" w:styleId="3" w:customStyle="1">
    <w:name w:val="Заголовок 3 Знак"/>
    <w:basedOn w:val="DefaultParagraphFont"/>
    <w:qFormat/>
    <w:rsid w:val="00bf7216"/>
    <w:rPr>
      <w:rFonts w:eastAsia="Times New Roman"/>
      <w:sz w:val="28"/>
      <w:szCs w:val="20"/>
    </w:rPr>
  </w:style>
  <w:style w:type="character" w:styleId="1" w:customStyle="1">
    <w:name w:val="Заголовок 1 Знак"/>
    <w:basedOn w:val="DefaultParagraphFont"/>
    <w:uiPriority w:val="9"/>
    <w:qFormat/>
    <w:rsid w:val="00dc62d7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Times New Roman" w:hAnsi="Times New Roman" w:cs="Arial"/>
    </w:rPr>
  </w:style>
  <w:style w:type="paragraph" w:styleId="NoSpacing">
    <w:name w:val="No Spacing"/>
    <w:uiPriority w:val="1"/>
    <w:qFormat/>
    <w:rsid w:val="00800c1c"/>
    <w:pPr>
      <w:widowControl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2"/>
      <w:szCs w:val="22"/>
      <w:lang w:val="ru-RU" w:eastAsia="ru-RU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2"/>
    <w:uiPriority w:val="99"/>
    <w:semiHidden/>
    <w:unhideWhenUsed/>
    <w:rsid w:val="009476c3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3"/>
    <w:uiPriority w:val="99"/>
    <w:semiHidden/>
    <w:unhideWhenUsed/>
    <w:rsid w:val="009476c3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ba41ea"/>
    <w:pPr>
      <w:spacing w:before="0" w:after="0"/>
      <w:ind w:left="720"/>
      <w:contextualSpacing/>
    </w:pPr>
    <w:rPr/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00c1c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825E9-CBE4-4CEC-AC83-2BD9689F4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Application>LibreOffice/25.2.0.3$Windows_X86_64 LibreOffice_project/e1cf4a87eb02d755bce1a01209907ea5ddc8f069</Application>
  <AppVersion>15.0000</AppVersion>
  <Pages>3</Pages>
  <Words>463</Words>
  <Characters>3281</Characters>
  <CharactersWithSpaces>3753</CharactersWithSpaces>
  <Paragraphs>129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2018-10-16T07:52:00Z</dcterms:created>
  <dc:creator>Windows User</dc:creator>
  <dc:description/>
  <dc:language>ru-RU</dc:language>
  <cp:lastModifiedBy>ИКО</cp:lastModifiedBy>
  <cp:lastPrinted>2022-10-19T06:01:00Z</cp:lastPrinted>
  <dcterms:modified xsi:type="dcterms:W3CDTF">2025-02-26T14:36:53Z</dcterms:modified>
  <cp:revision>127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